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E22967">
        <w:rPr>
          <w:rFonts w:ascii="Tahoma" w:eastAsia="Museo Sans 500" w:hAnsi="Tahoma" w:cs="Tahoma"/>
          <w:color w:val="00AEEF"/>
          <w:sz w:val="18"/>
          <w:szCs w:val="14"/>
          <w:lang w:val="fr-CH"/>
        </w:rPr>
        <w:t>White Lies</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lastRenderedPageBreak/>
        <w:t xml:space="preserve">Le présent règlement a été fait le </w:t>
      </w:r>
      <w:r w:rsidR="00E22967">
        <w:rPr>
          <w:rFonts w:ascii="Tahoma" w:eastAsia="Museo Sans 300" w:hAnsi="Tahoma" w:cs="Tahoma"/>
          <w:color w:val="414042"/>
          <w:spacing w:val="-2"/>
          <w:sz w:val="14"/>
          <w:szCs w:val="14"/>
          <w:lang w:val="fr-CH"/>
        </w:rPr>
        <w:t>4</w:t>
      </w:r>
      <w:r w:rsidR="005C6FFD">
        <w:rPr>
          <w:rFonts w:ascii="Tahoma" w:eastAsia="Museo Sans 300" w:hAnsi="Tahoma" w:cs="Tahoma"/>
          <w:color w:val="414042"/>
          <w:spacing w:val="-2"/>
          <w:sz w:val="14"/>
          <w:szCs w:val="14"/>
          <w:lang w:val="fr-CH"/>
        </w:rPr>
        <w:t xml:space="preserve"> </w:t>
      </w:r>
      <w:r w:rsidR="00E22967">
        <w:rPr>
          <w:rFonts w:ascii="Tahoma" w:eastAsia="Museo Sans 300" w:hAnsi="Tahoma" w:cs="Tahoma"/>
          <w:color w:val="414042"/>
          <w:spacing w:val="-2"/>
          <w:sz w:val="14"/>
          <w:szCs w:val="14"/>
          <w:lang w:val="fr-CH"/>
        </w:rPr>
        <w:t>août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E22967">
        <w:rPr>
          <w:rFonts w:ascii="Tahoma" w:eastAsia="Museo Sans 300" w:hAnsi="Tahoma" w:cs="Tahoma"/>
          <w:color w:val="414042"/>
          <w:spacing w:val="-2"/>
          <w:sz w:val="14"/>
          <w:szCs w:val="14"/>
          <w:lang w:val="fr-CH"/>
        </w:rPr>
        <w:t>White Lies</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E6381F">
        <w:rPr>
          <w:rFonts w:ascii="Tahoma" w:eastAsia="Museo Sans 300" w:hAnsi="Tahoma" w:cs="Tahoma"/>
          <w:color w:val="414042"/>
          <w:spacing w:val="-2"/>
          <w:sz w:val="14"/>
          <w:szCs w:val="14"/>
          <w:lang w:val="fr-CH"/>
        </w:rPr>
        <w:t>2</w:t>
      </w:r>
      <w:r w:rsidR="00E22967">
        <w:rPr>
          <w:rFonts w:ascii="Tahoma" w:eastAsia="Museo Sans 300" w:hAnsi="Tahoma" w:cs="Tahoma"/>
          <w:color w:val="414042"/>
          <w:spacing w:val="-2"/>
          <w:sz w:val="14"/>
          <w:szCs w:val="14"/>
          <w:lang w:val="fr-CH"/>
        </w:rPr>
        <w:t>3</w:t>
      </w:r>
      <w:r w:rsidR="007D2C8B" w:rsidRPr="007D2C8B">
        <w:rPr>
          <w:rFonts w:ascii="Tahoma" w:eastAsia="Museo Sans 300" w:hAnsi="Tahoma" w:cs="Tahoma"/>
          <w:color w:val="414042"/>
          <w:spacing w:val="-2"/>
          <w:sz w:val="14"/>
          <w:szCs w:val="14"/>
          <w:lang w:val="fr-CH"/>
        </w:rPr>
        <w:t xml:space="preserve"> </w:t>
      </w:r>
      <w:r w:rsidR="00E22967">
        <w:rPr>
          <w:rFonts w:ascii="Tahoma" w:eastAsia="Museo Sans 300" w:hAnsi="Tahoma" w:cs="Tahoma"/>
          <w:color w:val="414042"/>
          <w:spacing w:val="-2"/>
          <w:sz w:val="14"/>
          <w:szCs w:val="14"/>
          <w:lang w:val="fr-CH"/>
        </w:rPr>
        <w:t>août</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E22967">
        <w:rPr>
          <w:rFonts w:ascii="Tahoma" w:eastAsia="Museo Sans 300" w:hAnsi="Tahoma" w:cs="Tahoma"/>
          <w:color w:val="414042"/>
          <w:spacing w:val="-2"/>
          <w:sz w:val="14"/>
          <w:szCs w:val="14"/>
          <w:lang w:val="fr-CH"/>
        </w:rPr>
        <w:t>29</w:t>
      </w:r>
      <w:r w:rsidR="00075E05">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août</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la personne avec laquelle il souhaite aller au concert.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E22967">
        <w:rPr>
          <w:rFonts w:ascii="Tahoma" w:eastAsia="Museo Sans 300" w:hAnsi="Tahoma" w:cs="Tahoma"/>
          <w:color w:val="414042"/>
          <w:spacing w:val="-2"/>
          <w:sz w:val="14"/>
          <w:szCs w:val="14"/>
          <w:lang w:val="fr-CH"/>
        </w:rPr>
        <w:t>3</w:t>
      </w:r>
      <w:r w:rsidR="00E6381F">
        <w:rPr>
          <w:rFonts w:ascii="Tahoma" w:eastAsia="Museo Sans 300" w:hAnsi="Tahoma" w:cs="Tahoma"/>
          <w:color w:val="414042"/>
          <w:spacing w:val="-2"/>
          <w:sz w:val="14"/>
          <w:szCs w:val="14"/>
          <w:lang w:val="fr-CH"/>
        </w:rPr>
        <w:t>0</w:t>
      </w:r>
      <w:r w:rsidR="008A49B1" w:rsidRPr="008A49B1">
        <w:rPr>
          <w:rFonts w:ascii="Tahoma" w:eastAsia="Museo Sans 300" w:hAnsi="Tahoma" w:cs="Tahoma"/>
          <w:color w:val="414042"/>
          <w:spacing w:val="-2"/>
          <w:sz w:val="14"/>
          <w:szCs w:val="14"/>
          <w:lang w:val="fr-CH"/>
        </w:rPr>
        <w:t xml:space="preserve"> </w:t>
      </w:r>
      <w:r w:rsidR="00E6381F">
        <w:rPr>
          <w:rFonts w:ascii="Tahoma" w:eastAsia="Museo Sans 300" w:hAnsi="Tahoma" w:cs="Tahoma"/>
          <w:color w:val="414042"/>
          <w:spacing w:val="-2"/>
          <w:sz w:val="14"/>
          <w:szCs w:val="14"/>
          <w:lang w:val="fr-CH"/>
        </w:rPr>
        <w:t>août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075E05">
        <w:rPr>
          <w:rFonts w:ascii="Tahoma" w:eastAsia="Museo Sans 300" w:hAnsi="Tahoma" w:cs="Tahoma"/>
          <w:color w:val="414042"/>
          <w:spacing w:val="-2"/>
          <w:sz w:val="14"/>
          <w:szCs w:val="14"/>
          <w:lang w:val="fr-CH"/>
        </w:rPr>
        <w:t>1</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4874E3"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Q</w:t>
      </w:r>
      <w:r w:rsidR="00075E05">
        <w:rPr>
          <w:rFonts w:ascii="Tahoma" w:eastAsia="Museo Sans 300" w:hAnsi="Tahoma" w:cs="Tahoma"/>
          <w:b/>
          <w:color w:val="414042"/>
          <w:spacing w:val="-2"/>
          <w:sz w:val="14"/>
          <w:szCs w:val="14"/>
          <w:lang w:val="fr-CH"/>
        </w:rPr>
        <w:t>u</w:t>
      </w:r>
      <w:r>
        <w:rPr>
          <w:rFonts w:ascii="Tahoma" w:eastAsia="Museo Sans 300" w:hAnsi="Tahoma" w:cs="Tahoma"/>
          <w:b/>
          <w:color w:val="414042"/>
          <w:spacing w:val="-2"/>
          <w:sz w:val="14"/>
          <w:szCs w:val="14"/>
          <w:lang w:val="fr-CH"/>
        </w:rPr>
        <w:t>a</w:t>
      </w:r>
      <w:r w:rsidR="00E6381F">
        <w:rPr>
          <w:rFonts w:ascii="Tahoma" w:eastAsia="Museo Sans 300" w:hAnsi="Tahoma" w:cs="Tahoma"/>
          <w:b/>
          <w:color w:val="414042"/>
          <w:spacing w:val="-2"/>
          <w:sz w:val="14"/>
          <w:szCs w:val="14"/>
          <w:lang w:val="fr-CH"/>
        </w:rPr>
        <w:t>tre</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4</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sidR="00E6381F">
        <w:rPr>
          <w:rFonts w:ascii="Tahoma" w:eastAsia="Museo Sans 300" w:hAnsi="Tahoma" w:cs="Tahoma"/>
          <w:b/>
          <w:color w:val="414042"/>
          <w:spacing w:val="-2"/>
          <w:sz w:val="14"/>
          <w:szCs w:val="14"/>
          <w:lang w:val="fr-CH"/>
        </w:rPr>
        <w:t>deux</w:t>
      </w:r>
      <w:r>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sidR="00075E05">
        <w:rPr>
          <w:rFonts w:ascii="Tahoma" w:eastAsia="Museo Sans 300" w:hAnsi="Tahoma" w:cs="Tahoma"/>
          <w:b/>
          <w:color w:val="414042"/>
          <w:spacing w:val="-2"/>
          <w:sz w:val="14"/>
          <w:szCs w:val="14"/>
          <w:lang w:val="fr-CH"/>
        </w:rPr>
        <w:t>2</w:t>
      </w:r>
      <w:r w:rsidR="009D4E00" w:rsidRPr="009D4E00">
        <w:rPr>
          <w:rFonts w:ascii="Tahoma" w:eastAsia="Museo Sans 300" w:hAnsi="Tahoma" w:cs="Tahoma"/>
          <w:b/>
          <w:color w:val="414042"/>
          <w:spacing w:val="-2"/>
          <w:sz w:val="14"/>
          <w:szCs w:val="14"/>
          <w:lang w:val="fr-CH"/>
        </w:rPr>
        <w:t xml:space="preserve">) fois un (1) lot de deux (2) billets) pour le </w:t>
      </w:r>
      <w:r w:rsidR="005853F7">
        <w:rPr>
          <w:rFonts w:ascii="Tahoma" w:eastAsia="Museo Sans 300" w:hAnsi="Tahoma" w:cs="Tahoma"/>
          <w:b/>
          <w:color w:val="414042"/>
          <w:spacing w:val="-2"/>
          <w:sz w:val="14"/>
          <w:szCs w:val="14"/>
          <w:lang w:val="fr-CH"/>
        </w:rPr>
        <w:t xml:space="preserve">concert </w:t>
      </w:r>
      <w:r w:rsidR="00E22967">
        <w:rPr>
          <w:rFonts w:ascii="Tahoma" w:eastAsia="Museo Sans 300" w:hAnsi="Tahoma" w:cs="Tahoma"/>
          <w:b/>
          <w:color w:val="414042"/>
          <w:spacing w:val="-2"/>
          <w:sz w:val="14"/>
          <w:szCs w:val="14"/>
          <w:lang w:val="fr-CH"/>
        </w:rPr>
        <w:t>White Lies</w:t>
      </w:r>
      <w:r w:rsidR="005853F7">
        <w:rPr>
          <w:rFonts w:ascii="Tahoma" w:eastAsia="Museo Sans 300" w:hAnsi="Tahoma" w:cs="Tahoma"/>
          <w:b/>
          <w:color w:val="414042"/>
          <w:spacing w:val="-2"/>
          <w:sz w:val="14"/>
          <w:szCs w:val="14"/>
          <w:lang w:val="fr-CH"/>
        </w:rPr>
        <w:t xml:space="preserve"> le </w:t>
      </w:r>
      <w:r w:rsidR="00E6381F">
        <w:rPr>
          <w:rFonts w:ascii="Tahoma" w:eastAsia="Museo Sans 300" w:hAnsi="Tahoma" w:cs="Tahoma"/>
          <w:b/>
          <w:color w:val="414042"/>
          <w:spacing w:val="-2"/>
          <w:sz w:val="14"/>
          <w:szCs w:val="14"/>
          <w:lang w:val="fr-CH"/>
        </w:rPr>
        <w:t>0</w:t>
      </w:r>
      <w:r w:rsidR="00E22967">
        <w:rPr>
          <w:rFonts w:ascii="Tahoma" w:eastAsia="Museo Sans 300" w:hAnsi="Tahoma" w:cs="Tahoma"/>
          <w:b/>
          <w:color w:val="414042"/>
          <w:spacing w:val="-2"/>
          <w:sz w:val="14"/>
          <w:szCs w:val="14"/>
          <w:lang w:val="fr-CH"/>
        </w:rPr>
        <w:t>5</w:t>
      </w:r>
      <w:r w:rsidR="005853F7">
        <w:rPr>
          <w:rFonts w:ascii="Tahoma" w:eastAsia="Museo Sans 300" w:hAnsi="Tahoma" w:cs="Tahoma"/>
          <w:b/>
          <w:color w:val="414042"/>
          <w:spacing w:val="-2"/>
          <w:sz w:val="14"/>
          <w:szCs w:val="14"/>
          <w:lang w:val="fr-CH"/>
        </w:rPr>
        <w:t xml:space="preserve"> </w:t>
      </w:r>
      <w:r w:rsidR="00E22967">
        <w:rPr>
          <w:rFonts w:ascii="Tahoma" w:eastAsia="Museo Sans 300" w:hAnsi="Tahoma" w:cs="Tahoma"/>
          <w:b/>
          <w:color w:val="414042"/>
          <w:spacing w:val="-2"/>
          <w:sz w:val="14"/>
          <w:szCs w:val="14"/>
          <w:lang w:val="fr-CH"/>
        </w:rPr>
        <w:t>septembre</w:t>
      </w:r>
      <w:r w:rsidR="00075E05">
        <w:rPr>
          <w:rFonts w:ascii="Tahoma" w:eastAsia="Museo Sans 300" w:hAnsi="Tahoma" w:cs="Tahoma"/>
          <w:b/>
          <w:color w:val="414042"/>
          <w:spacing w:val="-2"/>
          <w:sz w:val="14"/>
          <w:szCs w:val="14"/>
          <w:lang w:val="fr-CH"/>
        </w:rPr>
        <w:t xml:space="preserve"> 2021 à 1</w:t>
      </w:r>
      <w:r w:rsidR="00E6381F">
        <w:rPr>
          <w:rFonts w:ascii="Tahoma" w:eastAsia="Museo Sans 300" w:hAnsi="Tahoma" w:cs="Tahoma"/>
          <w:b/>
          <w:color w:val="414042"/>
          <w:spacing w:val="-2"/>
          <w:sz w:val="14"/>
          <w:szCs w:val="14"/>
          <w:lang w:val="fr-CH"/>
        </w:rPr>
        <w:t>9</w:t>
      </w:r>
      <w:r w:rsidR="00075E05">
        <w:rPr>
          <w:rFonts w:ascii="Tahoma" w:eastAsia="Museo Sans 300" w:hAnsi="Tahoma" w:cs="Tahoma"/>
          <w:b/>
          <w:color w:val="414042"/>
          <w:spacing w:val="-2"/>
          <w:sz w:val="14"/>
          <w:szCs w:val="14"/>
          <w:lang w:val="fr-CH"/>
        </w:rPr>
        <w:t>h00</w:t>
      </w:r>
      <w:r w:rsidR="005853F7">
        <w:rPr>
          <w:rFonts w:ascii="Tahoma" w:eastAsia="Museo Sans 300" w:hAnsi="Tahoma" w:cs="Tahoma"/>
          <w:b/>
          <w:color w:val="414042"/>
          <w:spacing w:val="-2"/>
          <w:sz w:val="14"/>
          <w:szCs w:val="14"/>
          <w:lang w:val="fr-CH"/>
        </w:rPr>
        <w:t xml:space="preserve"> à </w:t>
      </w:r>
      <w:r w:rsidR="00E6381F">
        <w:rPr>
          <w:rFonts w:ascii="Tahoma" w:eastAsia="Museo Sans 300" w:hAnsi="Tahoma" w:cs="Tahoma"/>
          <w:b/>
          <w:color w:val="414042"/>
          <w:spacing w:val="-2"/>
          <w:sz w:val="14"/>
          <w:szCs w:val="14"/>
          <w:lang w:val="fr-CH"/>
        </w:rPr>
        <w:t>« </w:t>
      </w:r>
      <w:r w:rsidR="00E22967">
        <w:rPr>
          <w:rFonts w:ascii="Tahoma" w:eastAsia="Museo Sans 300" w:hAnsi="Tahoma" w:cs="Tahoma"/>
          <w:b/>
          <w:color w:val="414042"/>
          <w:spacing w:val="-2"/>
          <w:sz w:val="14"/>
          <w:szCs w:val="14"/>
          <w:lang w:val="fr-CH"/>
        </w:rPr>
        <w:t>POND Eclectic</w:t>
      </w:r>
      <w:r w:rsidR="00E6381F">
        <w:rPr>
          <w:rFonts w:ascii="Tahoma" w:eastAsia="Museo Sans 300" w:hAnsi="Tahoma" w:cs="Tahoma"/>
          <w:b/>
          <w:color w:val="414042"/>
          <w:spacing w:val="-2"/>
          <w:sz w:val="14"/>
          <w:szCs w:val="14"/>
          <w:lang w:val="fr-CH"/>
        </w:rPr>
        <w:t> » (</w:t>
      </w:r>
      <w:r w:rsidR="00E22967">
        <w:rPr>
          <w:rFonts w:ascii="Tahoma" w:eastAsia="Museo Sans 300" w:hAnsi="Tahoma" w:cs="Tahoma"/>
          <w:b/>
          <w:color w:val="414042"/>
          <w:spacing w:val="-2"/>
          <w:sz w:val="14"/>
          <w:szCs w:val="14"/>
          <w:lang w:val="fr-CH"/>
        </w:rPr>
        <w:t>Amphithéatre Park Kirchberg, rue Léon Hengen Luxembourg</w:t>
      </w:r>
      <w:r w:rsidR="00E6381F">
        <w:rPr>
          <w:rFonts w:ascii="Tahoma" w:eastAsia="Museo Sans 300" w:hAnsi="Tahoma" w:cs="Tahoma"/>
          <w:b/>
          <w:color w:val="414042"/>
          <w:spacing w:val="-2"/>
          <w:sz w:val="14"/>
          <w:szCs w:val="14"/>
          <w:lang w:val="fr-CH"/>
        </w:rPr>
        <w:t>)</w:t>
      </w:r>
      <w:r w:rsidR="009D4E00" w:rsidRPr="009D4E00">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w:t>
      </w:r>
      <w:r w:rsidR="00F53E0C" w:rsidRPr="0078419A">
        <w:rPr>
          <w:rFonts w:ascii="Tahoma" w:eastAsia="Museo Sans 300" w:hAnsi="Tahoma" w:cs="Tahoma"/>
          <w:color w:val="414042"/>
          <w:spacing w:val="-2"/>
          <w:sz w:val="14"/>
          <w:szCs w:val="14"/>
          <w:lang w:val="fr-CH"/>
        </w:rPr>
        <w:lastRenderedPageBreak/>
        <w:t>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w:t>
      </w:r>
      <w:r w:rsidR="002C3699">
        <w:rPr>
          <w:rFonts w:ascii="Tahoma" w:eastAsia="Museo Sans 300" w:hAnsi="Tahoma" w:cs="Tahoma"/>
          <w:color w:val="414042"/>
          <w:spacing w:val="-4"/>
          <w:sz w:val="14"/>
          <w:szCs w:val="14"/>
          <w:lang w:val="fr-CH"/>
        </w:rPr>
        <w:lastRenderedPageBreak/>
        <w:t xml:space="preserve">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19" w:rsidRDefault="00330A19" w:rsidP="005E6CA1">
      <w:pPr>
        <w:spacing w:after="0" w:line="240" w:lineRule="auto"/>
      </w:pPr>
      <w:r>
        <w:separator/>
      </w:r>
    </w:p>
  </w:endnote>
  <w:endnote w:type="continuationSeparator" w:id="0">
    <w:p w:rsidR="00330A19" w:rsidRDefault="00330A19"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19" w:rsidRDefault="00330A19" w:rsidP="005E6CA1">
      <w:pPr>
        <w:spacing w:after="0" w:line="240" w:lineRule="auto"/>
      </w:pPr>
      <w:r>
        <w:separator/>
      </w:r>
    </w:p>
  </w:footnote>
  <w:footnote w:type="continuationSeparator" w:id="0">
    <w:p w:rsidR="00330A19" w:rsidRDefault="00330A19"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30A19"/>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77722"/>
    <w:rsid w:val="0099708A"/>
    <w:rsid w:val="009C633C"/>
    <w:rsid w:val="009D4E00"/>
    <w:rsid w:val="009E7BE1"/>
    <w:rsid w:val="009F26F3"/>
    <w:rsid w:val="00A42BF6"/>
    <w:rsid w:val="00A51700"/>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E12AFB"/>
    <w:rsid w:val="00E13F17"/>
    <w:rsid w:val="00E21697"/>
    <w:rsid w:val="00E22967"/>
    <w:rsid w:val="00E23A00"/>
    <w:rsid w:val="00E3793B"/>
    <w:rsid w:val="00E46AD2"/>
    <w:rsid w:val="00E53A21"/>
    <w:rsid w:val="00E6381F"/>
    <w:rsid w:val="00E83C56"/>
    <w:rsid w:val="00E841ED"/>
    <w:rsid w:val="00E85D1F"/>
    <w:rsid w:val="00E93A0C"/>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154E-CF68-4B48-AEC2-ACB6D0BCCF4F}">
  <ds:schemaRefs>
    <ds:schemaRef ds:uri="http://schemas.openxmlformats.org/officeDocument/2006/bibliography"/>
  </ds:schemaRefs>
</ds:datastoreItem>
</file>

<file path=customXml/itemProps2.xml><?xml version="1.0" encoding="utf-8"?>
<ds:datastoreItem xmlns:ds="http://schemas.openxmlformats.org/officeDocument/2006/customXml" ds:itemID="{F5EB7CC9-CF09-42C2-9EE3-588A6E71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8916</Characters>
  <Application>Microsoft Office Word</Application>
  <DocSecurity>0</DocSecurity>
  <Lines>387</Lines>
  <Paragraphs>206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10313</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2021-08-05T11:01:00Z</dcterms:created>
  <dcterms:modified xsi:type="dcterms:W3CDTF">2021-08-05T11:01:00Z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